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E5" w:rsidRDefault="007B33E5"/>
    <w:p w:rsidR="00DC62E4" w:rsidRDefault="00DC62E4" w:rsidP="00DC62E4">
      <w:pPr>
        <w:pStyle w:val="Balk2"/>
        <w:numPr>
          <w:ilvl w:val="1"/>
          <w:numId w:val="2"/>
        </w:numPr>
        <w:ind w:hanging="256"/>
        <w:jc w:val="both"/>
        <w:rPr>
          <w:rFonts w:ascii="Arial Narrow" w:hAnsi="Arial Narrow"/>
        </w:rPr>
      </w:pPr>
      <w:bookmarkStart w:id="0" w:name="_Toc456561207"/>
      <w:bookmarkStart w:id="1" w:name="_Toc442982131"/>
      <w:bookmarkStart w:id="2" w:name="_Toc445738794"/>
      <w:r>
        <w:rPr>
          <w:rFonts w:ascii="Arial Narrow" w:hAnsi="Arial Narrow"/>
        </w:rPr>
        <w:t>YANGIN ALGILAMA ve SÖNDÜRME SİSTEMLERİ</w:t>
      </w:r>
      <w:bookmarkEnd w:id="0"/>
    </w:p>
    <w:p w:rsidR="00DC62E4" w:rsidRPr="00253198" w:rsidRDefault="00DC62E4" w:rsidP="00DC62E4">
      <w:pPr>
        <w:pStyle w:val="Balk2"/>
        <w:numPr>
          <w:ilvl w:val="2"/>
          <w:numId w:val="2"/>
        </w:numPr>
        <w:ind w:left="1134" w:hanging="708"/>
        <w:jc w:val="both"/>
        <w:rPr>
          <w:rFonts w:ascii="Arial Narrow" w:hAnsi="Arial Narrow"/>
        </w:rPr>
      </w:pPr>
      <w:bookmarkStart w:id="3" w:name="_Toc456561208"/>
      <w:r w:rsidRPr="00253198">
        <w:rPr>
          <w:rFonts w:ascii="Arial Narrow" w:hAnsi="Arial Narrow"/>
        </w:rPr>
        <w:t>NOVEC 1230 GAZLI SÖNDÜRME SİSTEMİ</w:t>
      </w:r>
      <w:bookmarkStart w:id="4" w:name="_Toc442982132"/>
      <w:bookmarkEnd w:id="1"/>
      <w:bookmarkEnd w:id="2"/>
      <w:bookmarkEnd w:id="3"/>
    </w:p>
    <w:p w:rsidR="00DC62E4" w:rsidRPr="00253198" w:rsidRDefault="00DC62E4" w:rsidP="00DC62E4">
      <w:pPr>
        <w:pStyle w:val="Balk3"/>
        <w:numPr>
          <w:ilvl w:val="3"/>
          <w:numId w:val="2"/>
        </w:numPr>
        <w:rPr>
          <w:rFonts w:ascii="Arial Narrow" w:hAnsi="Arial Narrow"/>
          <w:sz w:val="24"/>
          <w:szCs w:val="24"/>
        </w:rPr>
      </w:pPr>
      <w:bookmarkStart w:id="5" w:name="_Toc445738795"/>
      <w:bookmarkStart w:id="6" w:name="_Toc456561209"/>
      <w:r w:rsidRPr="00253198">
        <w:rPr>
          <w:rFonts w:ascii="Arial Narrow" w:hAnsi="Arial Narrow"/>
          <w:sz w:val="24"/>
          <w:szCs w:val="24"/>
        </w:rPr>
        <w:t>GENEL SİSTEM TANIMI</w:t>
      </w:r>
      <w:bookmarkEnd w:id="5"/>
      <w:bookmarkEnd w:id="6"/>
      <w:r w:rsidRPr="00253198">
        <w:rPr>
          <w:rFonts w:ascii="Arial Narrow" w:hAnsi="Arial Narrow"/>
          <w:sz w:val="24"/>
          <w:szCs w:val="24"/>
        </w:rPr>
        <w:t xml:space="preserve"> </w:t>
      </w:r>
      <w:bookmarkEnd w:id="4"/>
    </w:p>
    <w:p w:rsidR="00DC62E4" w:rsidRPr="00253198" w:rsidRDefault="00DC62E4" w:rsidP="00DC62E4">
      <w:pPr>
        <w:jc w:val="both"/>
        <w:rPr>
          <w:rFonts w:ascii="Arial Narrow" w:hAnsi="Arial Narrow"/>
        </w:rPr>
      </w:pP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söndürme sistemi algılama kısmı, EN54 ve NFPA72 standartlarından en az birine uygun olarak tesis edilecektir.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Her söndürme bölgesi için ilgili madde de belirtilen standartlar doğrultusunda yapılacak çalışma sonucunda hesaplanacak sayıda, yangın koruması yapılacak hacme uygun; yangın algılama dedektörü, yangın ihbar sireni, ışık ve sesli ikaz verecek flaşörlü siren, manuel başlatma butonu, manuel durdurma/bloklama butonu ve gaz boşalım ikazı alınabilecek bir yangın ihbar ve söndürme paneli kullanılacaktır.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NOVEC1230 Gazlı Yangın Söndürme Sistemi, “NFPA 2001 Standard on Clean Agent Fire Extinguishing Systems, 2000 Edition”, “ISO-14520 Gaseous Media Fire Extingusihing Systems”, “VdS 2381, Guidlines for Fire Extinguishing Systems Planning and Installation 2002 Edition” standartlarından birine uygun olarak ve koruma yapılacak olan her bir </w:t>
      </w:r>
      <w:proofErr w:type="gramStart"/>
      <w:r w:rsidRPr="00253198">
        <w:rPr>
          <w:rFonts w:ascii="Arial Narrow" w:hAnsi="Arial Narrow"/>
        </w:rPr>
        <w:t>mekanda</w:t>
      </w:r>
      <w:proofErr w:type="gramEnd"/>
      <w:r w:rsidRPr="00253198">
        <w:rPr>
          <w:rFonts w:ascii="Arial Narrow" w:hAnsi="Arial Narrow"/>
        </w:rPr>
        <w:t xml:space="preserve"> oda içi, </w:t>
      </w:r>
      <w:r w:rsidRPr="0071709C">
        <w:rPr>
          <w:rFonts w:ascii="Arial Narrow" w:hAnsi="Arial Narrow"/>
          <w:highlight w:val="yellow"/>
        </w:rPr>
        <w:t>varsa asma tavan içi ve yükseltilmiş taban altı hacimlerine eş zamanlı olarak</w:t>
      </w:r>
      <w:r w:rsidRPr="00253198">
        <w:rPr>
          <w:rFonts w:ascii="Arial Narrow" w:hAnsi="Arial Narrow"/>
        </w:rPr>
        <w:t xml:space="preserve"> </w:t>
      </w:r>
      <w:r w:rsidR="00430403">
        <w:rPr>
          <w:rFonts w:ascii="Arial Narrow" w:hAnsi="Arial Narrow"/>
        </w:rPr>
        <w:t xml:space="preserve"> </w:t>
      </w:r>
      <w:r w:rsidRPr="00253198">
        <w:rPr>
          <w:rFonts w:ascii="Arial Narrow" w:hAnsi="Arial Narrow"/>
        </w:rPr>
        <w:t xml:space="preserve">(“Total </w:t>
      </w:r>
      <w:proofErr w:type="spellStart"/>
      <w:r w:rsidRPr="00253198">
        <w:rPr>
          <w:rFonts w:ascii="Arial Narrow" w:hAnsi="Arial Narrow"/>
        </w:rPr>
        <w:t>Flooding</w:t>
      </w:r>
      <w:proofErr w:type="spellEnd"/>
      <w:r w:rsidRPr="00253198">
        <w:rPr>
          <w:rFonts w:ascii="Arial Narrow" w:hAnsi="Arial Narrow"/>
        </w:rPr>
        <w:t>”) NOVEC1230 gazı boşaltılacak şekilde tasarlanacaktır.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Yapılacak hidrolik hesaplamalar için kullanılan yazılım, </w:t>
      </w:r>
      <w:proofErr w:type="spellStart"/>
      <w:r w:rsidRPr="0071709C">
        <w:rPr>
          <w:rFonts w:ascii="Arial Narrow" w:hAnsi="Arial Narrow"/>
          <w:highlight w:val="yellow"/>
        </w:rPr>
        <w:t>VdS</w:t>
      </w:r>
      <w:proofErr w:type="spellEnd"/>
      <w:r w:rsidR="00430403">
        <w:rPr>
          <w:rFonts w:ascii="Arial Narrow" w:hAnsi="Arial Narrow"/>
        </w:rPr>
        <w:t xml:space="preserve"> </w:t>
      </w:r>
      <w:r w:rsidRPr="00253198">
        <w:rPr>
          <w:rFonts w:ascii="Arial Narrow" w:hAnsi="Arial Narrow"/>
        </w:rPr>
        <w:t>onaylı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Hesaplamalar sonucunda elde edilen güvenilirlik test raporları, hidrolik hesaplamalar, borulama, nozul detayları ve sistemin izometrik çizimleri Kuruma verilecektir.</w:t>
      </w:r>
      <w:r>
        <w:rPr>
          <w:rFonts w:ascii="Arial Narrow" w:hAnsi="Arial Narrow"/>
        </w:rPr>
        <w:t xml:space="preserve"> Çizimler Makina Mühendisleri Odası tarafından onaylı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söndürme sistemi, her söndürme bölgesi için yeterli olacak ve her söndürme bölgesi için kendi içerisinde çapraz zon algılama yapabilecek kapasitede algılama zonuna sahip ve her söndürme bölgesi için ayrı ayrı söndürme yapabilecek yeterli kapasitede söndürme bölgeli yangın ihbar ve söndürme paneli tarafından kontrol edilecektir. Söndürme paneli üzerinde elektrik kesilmelerine karşı en az 24 saat aralıksız hizmet sağlayacak akü bulunacaktır.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Yangın koruması yapılacak hacimler içerisinde yer alan her söndürme bölgesinde, olası yangın riski halinde açığa çıkacak ilk ürün dikkate alınarak, yangın algılama dedektörleri seçilecektir. Her söndürme bölgesindeki, hacimlerin (Ana hacim ayrı, </w:t>
      </w:r>
      <w:r w:rsidRPr="00253198">
        <w:rPr>
          <w:rFonts w:ascii="Arial Narrow" w:hAnsi="Arial Narrow"/>
        </w:rPr>
        <w:lastRenderedPageBreak/>
        <w:t>yükseltilmiş döşeme altı ayrı, asma tavan içi ayrı) kendi içerisinde, birbirleri arasında çapraz zonlama sistemi ile bağlanacak dedektörler ile algılama yapılacaktır.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Söndürme bölgelerinden her hangi birinden bir algılama yapıldığında, ilk dedektör algılamasının ardından, o söndürme bölgesini gösteren yangın ihbar sireni çalmaya başlayacaktır. Çapraz zon kontrol sistemi ile algılama ikinci bir dedektör tarafından doğrulandığında, yine aynı bölgeyi gösteren flaşörlü siren çalmaya başlayacak ve sesli ikaz ile birlikte görsel ikaz için flaşör yanmaya başlayacaktır. İkinci algılama ile birlikte söndürme paneli, (tahliye süresi dikkate alınarak hesaplanacak) geri sayım işlemine başlayacak ve geri sayım tamamlandıktan sonra, yangının algılandığı söndürme bölgesine bağlı bulunan NOVEC1230 sistem silindiri üzerindeki sistem valfi yangın söndürme paneli tarafından aktive edilerek NOVEC1230 gazının hacme boşalması sağlanacaktır.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İlk algılamanın ardından ve panelin geri sayım süresi tamamlanmadan önce yangına müdahale edebilecek bir personel, manuel durdurma/bloklama butonuna basarak NOVEC1230 söndürme sistemini devreden çıkarabilecektir. Sistem manuel olarak devreden çıkartılarak, düşük risk durumunda yangına bir seyyar söndürücü ile manuel müdahale yapılarak NOVEC1230 gazının boşaltılmadan yangının personel tarafından söndürülmesi sağlanabilecektir. Yangın riskinin süratle başlaması ve ikinci ikaz sireni veya panelin geri sayım süresi dolması beklenilmeden sistemin aktive edlmesi durumuna karşılık, yangın söndürme paneli yanına monte edilecek, manuel start butonu vasıtası ile sistem manuel olarak tetiklenebilecektir.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Yangının erken algılanabilmesi amacıyla, yangın ürünlerini (duman, aerosol v.b) farklı özelliklerden dolayı algılayabilecek ve farklı çalışma prensiplerine sahip; iyonizasyon ve/veya optik duman dedektörleri, ışın (beam) tipi duman dedektörleri, sabit ve/veya ısı artış tipi ısı dedektörleri, duman/ısı kombine dedektörler, alev dedektörleri veya Hassas Algılamalı ASD dedektörlerinden hangileri gerekli ise; EN54 ve NFPA72 standartlarından en az birisine uygun olarak yapılacak çalışma sonucunda belirlenecek ve yukarıda belirtildiği üzere sistem yazılımında çapraz zonlama ile 2 ayrı zon olacak şekilde birbirlerine ilişkilendirileceklerdir.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Böylelikle, söndürme sisteminin iki zonundan da alarm sinyali gelmesinden belli bir süre sonra aktive olması sağlanacaktır. Tek bir zondan alarm sinyali gelmesi halinde </w:t>
      </w:r>
      <w:r w:rsidRPr="00253198">
        <w:rPr>
          <w:rFonts w:ascii="Arial Narrow" w:hAnsi="Arial Narrow"/>
        </w:rPr>
        <w:lastRenderedPageBreak/>
        <w:t>bu durum bir ön alarm olarak belirlenecek, söndürme sistemi bu durumda aktive olmayacaktır. Böylelikle yanlış algılamalarda NOVEC1230 gazının gereksiz yere boşaltılması önlenecektir. Sistemde kullanılacak elektriksel algılama ekipmanları ve paneller EN 54 standardına uygun ve sertifikalı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Sistemde kullanılacak NOVEC1230 silindirleri, onaylı hidrolik hesaplamalar sonucu tesbit edilen ve </w:t>
      </w:r>
      <w:r w:rsidRPr="0071709C">
        <w:rPr>
          <w:rFonts w:ascii="Arial Narrow" w:hAnsi="Arial Narrow"/>
          <w:highlight w:val="yellow"/>
        </w:rPr>
        <w:t>silindir su hacminin ortalama 0.9 kapasitesinde</w:t>
      </w:r>
      <w:r w:rsidRPr="00253198">
        <w:rPr>
          <w:rFonts w:ascii="Arial Narrow" w:hAnsi="Arial Narrow"/>
        </w:rPr>
        <w:t xml:space="preserve">, NFPA, ISO 14520 ve VdS 2381 standardları gereği yangın koruması yapılacak hacim ölçülerine göre </w:t>
      </w:r>
      <w:r w:rsidRPr="0071709C">
        <w:rPr>
          <w:rFonts w:ascii="Arial Narrow" w:hAnsi="Arial Narrow"/>
          <w:highlight w:val="yellow"/>
        </w:rPr>
        <w:t>minimum %5.3</w:t>
      </w:r>
      <w:r w:rsidR="00430403">
        <w:rPr>
          <w:rFonts w:ascii="Arial Narrow" w:hAnsi="Arial Narrow"/>
        </w:rPr>
        <w:t xml:space="preserve"> </w:t>
      </w:r>
      <w:r w:rsidRPr="00253198">
        <w:rPr>
          <w:rFonts w:ascii="Arial Narrow" w:hAnsi="Arial Narrow"/>
        </w:rPr>
        <w:t xml:space="preserve">söndürme dizayn konsantrasyonu ile hesaplanarak (kg.ağırlık birimi ile) NOVEC1230 doldurulacak ve </w:t>
      </w:r>
      <w:r w:rsidRPr="0071709C">
        <w:rPr>
          <w:rFonts w:ascii="Arial Narrow" w:hAnsi="Arial Narrow"/>
          <w:highlight w:val="yellow"/>
        </w:rPr>
        <w:t>20°C ortam sıcaklığında minimum 42</w:t>
      </w:r>
      <w:r w:rsidRPr="00253198">
        <w:rPr>
          <w:rFonts w:ascii="Arial Narrow" w:hAnsi="Arial Narrow"/>
        </w:rPr>
        <w:t xml:space="preserve"> bar </w:t>
      </w:r>
      <w:proofErr w:type="gramStart"/>
      <w:r w:rsidRPr="00253198">
        <w:rPr>
          <w:rFonts w:ascii="Arial Narrow" w:hAnsi="Arial Narrow"/>
        </w:rPr>
        <w:t>nitrojen</w:t>
      </w:r>
      <w:r w:rsidR="00430403">
        <w:rPr>
          <w:rFonts w:ascii="Arial Narrow" w:hAnsi="Arial Narrow"/>
        </w:rPr>
        <w:t xml:space="preserve"> </w:t>
      </w:r>
      <w:r w:rsidRPr="00253198">
        <w:rPr>
          <w:rFonts w:ascii="Arial Narrow" w:hAnsi="Arial Narrow"/>
        </w:rPr>
        <w:t xml:space="preserve"> ile</w:t>
      </w:r>
      <w:proofErr w:type="gramEnd"/>
      <w:r w:rsidRPr="00253198">
        <w:rPr>
          <w:rFonts w:ascii="Arial Narrow" w:hAnsi="Arial Narrow"/>
        </w:rPr>
        <w:t xml:space="preserve"> basınçlandırılacaktır.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Sistem, yangın koruması yapılacak hacim için gerekli miktarda NOVEC1230’un depolanacağı bir veya birden fazla NOVEC1230 silindirinden oluşacaktır. Birden fazla silindir bulunan sistemlerde, manifold altına NOVEC1230 silindirleri monte edilecek ve bu silindirler aynı hacimde ve içlerine eşit miktarda NOVEC1230 doldurulmuş olacaktır. Silindirlerin valf çıkışı ile manifold bağlantısıarasında, mutlak surette silindir valf çıkış ölçüsünde çek-valf (check-valve) kullanılacaktır.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Sistemde kullanılacak NOVEC1230 silindirleri, Avrupa Birliği‘nde ve Türkiye’de yürürlükte bulunan 97/23/EC P.E.D. veya 99/36/EC T.P.E.D. basınçlı ekipmanlar direktiflerine uygun olarak üretilmiş, CE veya Л onaylı ve kullanılacak silindir hacimlerine göre ISO EN9809-1 standartlarında üretilmiş ve EN kurallarına göre akredite olmuş bağımsız denetim kuruluşları tarafından sertifikalandırılmış silindirler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Silindir içerisinde bulunan NOVEC1230 miktarına göre söz konusu NOVEC1230 gazını NFPA, ISO 14520 ve VdS 2381 standartlarına göre </w:t>
      </w:r>
      <w:r w:rsidRPr="0071709C">
        <w:rPr>
          <w:rFonts w:ascii="Arial Narrow" w:hAnsi="Arial Narrow"/>
          <w:highlight w:val="yellow"/>
        </w:rPr>
        <w:t>maksimum 10 sn.</w:t>
      </w:r>
      <w:r w:rsidR="00430403">
        <w:rPr>
          <w:rFonts w:ascii="Arial Narrow" w:hAnsi="Arial Narrow"/>
        </w:rPr>
        <w:t xml:space="preserve"> </w:t>
      </w:r>
      <w:r w:rsidRPr="00253198">
        <w:rPr>
          <w:rFonts w:ascii="Arial Narrow" w:hAnsi="Arial Narrow"/>
        </w:rPr>
        <w:t xml:space="preserve">içerisinde hacme boşaltacak </w:t>
      </w:r>
      <w:proofErr w:type="spellStart"/>
      <w:r w:rsidRPr="00253198">
        <w:rPr>
          <w:rFonts w:ascii="Arial Narrow" w:hAnsi="Arial Narrow"/>
        </w:rPr>
        <w:t>VdS</w:t>
      </w:r>
      <w:proofErr w:type="spellEnd"/>
      <w:r w:rsidRPr="00253198">
        <w:rPr>
          <w:rFonts w:ascii="Arial Narrow" w:hAnsi="Arial Narrow"/>
        </w:rPr>
        <w:t xml:space="preserve"> onaylı bir NOVEC1230 silindir valfi silindire monte edilecektir.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Sistemde kullanılacak NOVEC1230 sistem valfi, VdS onaylı dövme pirinç gövdeli olacak ve diferansiyel sistem basıncı ile çalışacak özellikte olacaktır. Valf pistonu, sistem silindiri içerisindeki basıncın pistonu iterek açma eğilimine karşı, valf üst haznesindeki diferansiyel basınç etkisi ile kapalı olarak kalacaktır. Valf üzerindeki checkvalf’ten karşı basıncın tahliye edilmesi ve silindir içerisindeki basıncın valf </w:t>
      </w:r>
      <w:r w:rsidRPr="00253198">
        <w:rPr>
          <w:rFonts w:ascii="Arial Narrow" w:hAnsi="Arial Narrow"/>
        </w:rPr>
        <w:lastRenderedPageBreak/>
        <w:t xml:space="preserve">pistonunu itmesi ile valfin açılması sağlanacak ve sisteme NOVEC1230 boşalması gerçekleşecektir. Yeniden dolum gerektiğinde sistem valfi diferansiyel sistem basıncı ile emniyetli bir şekilde kapatılacaktır. </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Yangın söndürme panelinden aktarılacak 24VDC sinyal ile silindir valfini tetikleyecek VdS onaylı bir elektrik solenoid pilot valf, NOVEC1230 silindir valfine monte edilecektir.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Emniyet amacı ile NOVEC1230 silindir valfi üzerine, sistemi gerektiğinde manue</w:t>
      </w:r>
      <w:r>
        <w:rPr>
          <w:rFonts w:ascii="Arial Narrow" w:hAnsi="Arial Narrow"/>
        </w:rPr>
        <w:t>l</w:t>
      </w:r>
      <w:r w:rsidRPr="00253198">
        <w:rPr>
          <w:rFonts w:ascii="Arial Narrow" w:hAnsi="Arial Narrow"/>
        </w:rPr>
        <w:t xml:space="preserve"> olarak tetiklemek üzere VdS onaylı bir manuel pnömatik aktivatör, NOVEC1230 silindir valfine monte edilecektir.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tüp valfleri üzerinde aşırı basınç altında açılmak üzere emniyet mekanizmaları bulunacaktır. Valf üzerinde bulunacak emniyet mekanizmaları 58 bar – 68 bar aralığında basınca dayanacak şekilde set edilmiş olacaktır. 3” ve üzeri valflerin kullanıldığı sistemlerde valf üzerinde emniyet mekanizması bulunmaması halinde valflerin monte edildiği sistem tüpleri üzerinde emniyet mekanizması bulunacaktır. Tüp üzerinde bulunan emniyet mekanizmaları 58 bar – 68 bar aralığında basınca dayanacak şekilde set edilmiş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silindiri içerisinde nitrojen basıncını izlemek üzere elektrik solenoid pilot valf üzerinde monte edilmiş bir basınç göstergesi, birden çok tüp kullanılması halinde bataryada bulunan pilot tüpler haricindeki tüplerin valfleri üzerinde tüp iç basıncını gösterecek basınç göstergeleri, ve valflerin açılarak gazın sisteme boşalmasını sağlayacak, birden çok tüp ile oluşturulacak sistemlerde bataryadaki diğer tüplerin pnömatik olarak tetiklenmesini sağlayacak esnek (flexible) aktivasyon hortumları, sistemi tamamlayıcı ekipmanlar olarak kullanılacaktır. Kullanılacak aktivasyon hortumları basınca dayanıklı çelik örgülü ve VdS onaylı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Bir manifold altında birden fazla NOVEC1230 tüpü ile oluşturulacak sistemlerde 10(on) adetten fazla silindir kullanılması halinde en az iki sistem tüpü valfi üzerine elektrik solenoid aktivatör ve manuel aktivatör kullanlacaktır.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Sistemde kullanılacak NOVEC1230 tüpleri 7 lt</w:t>
      </w:r>
      <w:proofErr w:type="gramStart"/>
      <w:r w:rsidRPr="00253198">
        <w:rPr>
          <w:rFonts w:ascii="Arial Narrow" w:hAnsi="Arial Narrow"/>
        </w:rPr>
        <w:t>.,</w:t>
      </w:r>
      <w:proofErr w:type="gramEnd"/>
      <w:r w:rsidRPr="00253198">
        <w:rPr>
          <w:rFonts w:ascii="Arial Narrow" w:hAnsi="Arial Narrow"/>
        </w:rPr>
        <w:t xml:space="preserve"> 14 lt., 16 lt, 27 lt., 32 lt, 50 lt., 67 lt., 80 lt.,</w:t>
      </w:r>
      <w:r w:rsidRPr="008B3232">
        <w:rPr>
          <w:rFonts w:ascii="Arial Narrow" w:hAnsi="Arial Narrow"/>
        </w:rPr>
        <w:t xml:space="preserve">120 </w:t>
      </w:r>
      <w:proofErr w:type="spellStart"/>
      <w:r w:rsidRPr="008B3232">
        <w:rPr>
          <w:rFonts w:ascii="Arial Narrow" w:hAnsi="Arial Narrow"/>
        </w:rPr>
        <w:t>lt</w:t>
      </w:r>
      <w:proofErr w:type="spellEnd"/>
      <w:r w:rsidRPr="008B3232">
        <w:rPr>
          <w:rFonts w:ascii="Arial Narrow" w:hAnsi="Arial Narrow"/>
        </w:rPr>
        <w:t>.</w:t>
      </w:r>
      <w:r w:rsidR="00430403">
        <w:rPr>
          <w:rFonts w:ascii="Arial Narrow" w:hAnsi="Arial Narrow"/>
        </w:rPr>
        <w:t xml:space="preserve"> </w:t>
      </w:r>
      <w:proofErr w:type="gramStart"/>
      <w:r w:rsidRPr="00253198">
        <w:rPr>
          <w:rFonts w:ascii="Arial Narrow" w:hAnsi="Arial Narrow"/>
        </w:rPr>
        <w:t>kapasitelerde</w:t>
      </w:r>
      <w:proofErr w:type="gramEnd"/>
      <w:r w:rsidRPr="00253198">
        <w:rPr>
          <w:rFonts w:ascii="Arial Narrow" w:hAnsi="Arial Narrow"/>
        </w:rPr>
        <w:t xml:space="preserve"> üretilmiş olacaktır. Kullanılacak NOVEC1230 tüpleri, hidrolik hesaplamaların yapılacağı VdS onaylı software programları içerisinde yer alacaktır.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lastRenderedPageBreak/>
        <w:t>Tüpler içerisinde depolanacak NOVEC1230 miktarları, korunacak hacimleri söndürmek için yapılacak onaylı hidrolik hesaplama programında bulunacak ve sistemin doğru zamanda boşaldığını gerekli konsantrasyonların sağlandığını, dizayn edilen sistemin hatasız çalıştığını gösteren sonuç raporlarındaki gösterilen NOVEC1230 miktarlarında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 xml:space="preserve">NOVEC1230 boşaltma nozulları, VdS onaylı software hidrolik hesaplama programı ile yapılacak hesaplamalar sonucu seçilmiş çaplarda olacaktır. Her bir nozul üzerinde </w:t>
      </w:r>
      <w:r w:rsidRPr="0071709C">
        <w:rPr>
          <w:rFonts w:ascii="Arial Narrow" w:hAnsi="Arial Narrow"/>
          <w:highlight w:val="yellow"/>
        </w:rPr>
        <w:t>1, 2, 4 veya 8</w:t>
      </w:r>
      <w:r w:rsidR="00430403">
        <w:rPr>
          <w:rFonts w:ascii="Arial Narrow" w:hAnsi="Arial Narrow"/>
        </w:rPr>
        <w:t xml:space="preserve"> </w:t>
      </w:r>
      <w:r w:rsidRPr="00253198">
        <w:rPr>
          <w:rFonts w:ascii="Arial Narrow" w:hAnsi="Arial Narrow"/>
        </w:rPr>
        <w:t xml:space="preserve">adet delik bulunacak ve bu delikler aynı </w:t>
      </w:r>
      <w:proofErr w:type="gramStart"/>
      <w:r w:rsidRPr="00253198">
        <w:rPr>
          <w:rFonts w:ascii="Arial Narrow" w:hAnsi="Arial Narrow"/>
        </w:rPr>
        <w:t>software</w:t>
      </w:r>
      <w:proofErr w:type="gramEnd"/>
      <w:r w:rsidRPr="00253198">
        <w:rPr>
          <w:rFonts w:ascii="Arial Narrow" w:hAnsi="Arial Narrow"/>
        </w:rPr>
        <w:t xml:space="preserve"> tarafından belirlenmiş çaplarda delinmiş olacaktır.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Onaylı software hidrolik hesaplamaları sonucu seçilmiş çap ve et kalınlıklarında SCH40 kalite dikişsiz çelik çekme NOVEC1230 dağıtım boruları ve dövme malzemeden imal edilmiş 300 Class fittingsler kullanılarak NOVEC1230’un yangın koruması yapılacak hacme boşalması sağlanacaktır. SCH 40 kalite malzeme boru ve fittings bağlantıları, 3” ölçüye kadar pasolu olarak imal edilecek ve bağlantılar dişli olarak yapılacaktır. 3” ölçü üzeri boru ve fittings bağlantıları ise pasosuz olup, borulama ve imalat kaynaklı olarak gerçekleştirilecektir.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sisteminin tedarik edileceği firma, sistemin boşalması halinde, 72 saat içerisinde bedeli mukabilinde boşalan NOVEC1230 silindirlerini yeniden orijinal NOVEC1230 ile doldurarak sistemi aktif hale getirmeyi taahhüt edecektir.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sisteminin tedarik edileceği firma, gerekli durumlara karşı, sistem üzerinde bulunan komponentlerin temini stoklarından 72 saat içerisinde bedeli mukabilinde temin ederek sistemi çalışır duruma getirebileceğini taahhüt edecektir.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Sistemlerde kullanılacak silindir, valf, valf üzerinde bulunan ekipmanlar NOVEC1230 gazına ait onay ve sertifikalar Kurum onayına sunulacaktır.</w:t>
      </w:r>
    </w:p>
    <w:p w:rsidR="00DC62E4" w:rsidRPr="00253198" w:rsidRDefault="00DC62E4" w:rsidP="00DC62E4">
      <w:pPr>
        <w:pStyle w:val="ListeParagraf"/>
        <w:numPr>
          <w:ilvl w:val="4"/>
          <w:numId w:val="2"/>
        </w:numPr>
        <w:spacing w:line="360" w:lineRule="auto"/>
        <w:ind w:left="1843" w:hanging="992"/>
        <w:jc w:val="both"/>
        <w:rPr>
          <w:rFonts w:ascii="Arial Narrow" w:hAnsi="Arial Narrow"/>
        </w:rPr>
      </w:pPr>
      <w:r w:rsidRPr="00253198">
        <w:rPr>
          <w:rFonts w:ascii="Arial Narrow" w:hAnsi="Arial Narrow"/>
        </w:rPr>
        <w:t>NOVEC1230 üreticisi 3M firmasının, NOVEC1230 sistem ekipmanları üreticisi olan firmanın ve sistem tasarımını yapan firmanın uluslararası akredite bir kuruluştan alınmış ISO 9001-2000 kalite belgesine sahip olduğu belgelenecektir. Sistem tasarımını yapan firmanın ISO 9001-2000 kalite güvence belgesi muhteviyatı yangın söndürme sistemlerini de kapsadığı belge üzerinden görülecektir. Her bir belge sureti Kuruma teslim edilecektir.</w:t>
      </w:r>
    </w:p>
    <w:p w:rsidR="00DC62E4" w:rsidRDefault="00DC62E4" w:rsidP="008B3232">
      <w:pPr>
        <w:pStyle w:val="ListeParagraf"/>
        <w:numPr>
          <w:ilvl w:val="4"/>
          <w:numId w:val="2"/>
        </w:numPr>
        <w:spacing w:line="360" w:lineRule="auto"/>
        <w:ind w:left="1843" w:hanging="992"/>
        <w:jc w:val="both"/>
      </w:pPr>
      <w:r w:rsidRPr="00253198">
        <w:rPr>
          <w:rFonts w:ascii="Arial Narrow" w:hAnsi="Arial Narrow"/>
        </w:rPr>
        <w:lastRenderedPageBreak/>
        <w:t>Her oda için ayrı ayrı oda sızdırmazlık testi (door fan test) yapılacaktır. Sonuçları Kuruma teslim edilecektir.</w:t>
      </w:r>
      <w:bookmarkStart w:id="7" w:name="_GoBack"/>
      <w:bookmarkEnd w:id="7"/>
      <w:r w:rsidR="008B3232">
        <w:t xml:space="preserve"> </w:t>
      </w:r>
    </w:p>
    <w:sectPr w:rsidR="00DC62E4" w:rsidSect="002C5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7E68"/>
    <w:multiLevelType w:val="multilevel"/>
    <w:tmpl w:val="9C58792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Balk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E41B68"/>
    <w:multiLevelType w:val="multilevel"/>
    <w:tmpl w:val="5892422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E4"/>
    <w:rsid w:val="00033C97"/>
    <w:rsid w:val="00035166"/>
    <w:rsid w:val="0005464D"/>
    <w:rsid w:val="00070AA6"/>
    <w:rsid w:val="000A13C6"/>
    <w:rsid w:val="001038D5"/>
    <w:rsid w:val="00126B3A"/>
    <w:rsid w:val="00142154"/>
    <w:rsid w:val="001456EF"/>
    <w:rsid w:val="00154003"/>
    <w:rsid w:val="00155D5B"/>
    <w:rsid w:val="00171860"/>
    <w:rsid w:val="00176D5F"/>
    <w:rsid w:val="00196F67"/>
    <w:rsid w:val="001B746C"/>
    <w:rsid w:val="001C50C0"/>
    <w:rsid w:val="001D2543"/>
    <w:rsid w:val="001D6FD6"/>
    <w:rsid w:val="001E20B4"/>
    <w:rsid w:val="00203FF5"/>
    <w:rsid w:val="00241CB9"/>
    <w:rsid w:val="002C090D"/>
    <w:rsid w:val="002C2B5A"/>
    <w:rsid w:val="002C59BD"/>
    <w:rsid w:val="002E6F07"/>
    <w:rsid w:val="002F1B93"/>
    <w:rsid w:val="002F6F03"/>
    <w:rsid w:val="00310E63"/>
    <w:rsid w:val="00316D39"/>
    <w:rsid w:val="0033256C"/>
    <w:rsid w:val="00335D59"/>
    <w:rsid w:val="00343285"/>
    <w:rsid w:val="00350E67"/>
    <w:rsid w:val="00367FBC"/>
    <w:rsid w:val="003A7033"/>
    <w:rsid w:val="003B1FD0"/>
    <w:rsid w:val="003E2DFD"/>
    <w:rsid w:val="00400002"/>
    <w:rsid w:val="00430403"/>
    <w:rsid w:val="00431D77"/>
    <w:rsid w:val="0043221B"/>
    <w:rsid w:val="00475D50"/>
    <w:rsid w:val="00486BBF"/>
    <w:rsid w:val="0049652C"/>
    <w:rsid w:val="004A05D5"/>
    <w:rsid w:val="004C5465"/>
    <w:rsid w:val="004D0D61"/>
    <w:rsid w:val="004E2CBE"/>
    <w:rsid w:val="005159E9"/>
    <w:rsid w:val="00545D75"/>
    <w:rsid w:val="00575A79"/>
    <w:rsid w:val="00590E5B"/>
    <w:rsid w:val="005C5649"/>
    <w:rsid w:val="005E2F62"/>
    <w:rsid w:val="005F69A6"/>
    <w:rsid w:val="0061347E"/>
    <w:rsid w:val="00617AFF"/>
    <w:rsid w:val="00623FCD"/>
    <w:rsid w:val="0063318C"/>
    <w:rsid w:val="006474C7"/>
    <w:rsid w:val="006578DF"/>
    <w:rsid w:val="0066081F"/>
    <w:rsid w:val="00665C28"/>
    <w:rsid w:val="006855A0"/>
    <w:rsid w:val="0069284D"/>
    <w:rsid w:val="00696847"/>
    <w:rsid w:val="006A2929"/>
    <w:rsid w:val="006A65EF"/>
    <w:rsid w:val="006B5BAA"/>
    <w:rsid w:val="006C70C0"/>
    <w:rsid w:val="006D6EEF"/>
    <w:rsid w:val="00704091"/>
    <w:rsid w:val="00736211"/>
    <w:rsid w:val="007376A8"/>
    <w:rsid w:val="00767BB7"/>
    <w:rsid w:val="0079695F"/>
    <w:rsid w:val="007B33E5"/>
    <w:rsid w:val="007B58AA"/>
    <w:rsid w:val="007B7B76"/>
    <w:rsid w:val="007C6A65"/>
    <w:rsid w:val="007F04F9"/>
    <w:rsid w:val="007F1BD6"/>
    <w:rsid w:val="00831329"/>
    <w:rsid w:val="0083330A"/>
    <w:rsid w:val="00840433"/>
    <w:rsid w:val="00883980"/>
    <w:rsid w:val="00884A32"/>
    <w:rsid w:val="008B3232"/>
    <w:rsid w:val="008B71CB"/>
    <w:rsid w:val="009279B7"/>
    <w:rsid w:val="0097197C"/>
    <w:rsid w:val="0098023D"/>
    <w:rsid w:val="009A147E"/>
    <w:rsid w:val="009B1428"/>
    <w:rsid w:val="009D502F"/>
    <w:rsid w:val="009F0862"/>
    <w:rsid w:val="009F6766"/>
    <w:rsid w:val="00A66F07"/>
    <w:rsid w:val="00A92E5B"/>
    <w:rsid w:val="00A946CA"/>
    <w:rsid w:val="00AA3723"/>
    <w:rsid w:val="00AB13DE"/>
    <w:rsid w:val="00AC7893"/>
    <w:rsid w:val="00AE348F"/>
    <w:rsid w:val="00AF118B"/>
    <w:rsid w:val="00AF3BBD"/>
    <w:rsid w:val="00B04B3F"/>
    <w:rsid w:val="00B21479"/>
    <w:rsid w:val="00B24E2E"/>
    <w:rsid w:val="00B538A3"/>
    <w:rsid w:val="00B574D9"/>
    <w:rsid w:val="00B83D74"/>
    <w:rsid w:val="00BA2C94"/>
    <w:rsid w:val="00BA34FA"/>
    <w:rsid w:val="00BA4685"/>
    <w:rsid w:val="00BC5478"/>
    <w:rsid w:val="00BE05B1"/>
    <w:rsid w:val="00BE10CA"/>
    <w:rsid w:val="00BF1534"/>
    <w:rsid w:val="00C17C2A"/>
    <w:rsid w:val="00C345F8"/>
    <w:rsid w:val="00C34B7F"/>
    <w:rsid w:val="00C94FDA"/>
    <w:rsid w:val="00C95347"/>
    <w:rsid w:val="00CA2B22"/>
    <w:rsid w:val="00CA66A8"/>
    <w:rsid w:val="00CA6FCB"/>
    <w:rsid w:val="00CB078E"/>
    <w:rsid w:val="00CB5AF1"/>
    <w:rsid w:val="00CC4411"/>
    <w:rsid w:val="00CC5206"/>
    <w:rsid w:val="00CD1353"/>
    <w:rsid w:val="00CD68F2"/>
    <w:rsid w:val="00CF6460"/>
    <w:rsid w:val="00D267ED"/>
    <w:rsid w:val="00D33C93"/>
    <w:rsid w:val="00D569F4"/>
    <w:rsid w:val="00D56D2C"/>
    <w:rsid w:val="00D64A7E"/>
    <w:rsid w:val="00D66213"/>
    <w:rsid w:val="00D92BE0"/>
    <w:rsid w:val="00D952CD"/>
    <w:rsid w:val="00DA4023"/>
    <w:rsid w:val="00DB4748"/>
    <w:rsid w:val="00DC62E4"/>
    <w:rsid w:val="00DD0055"/>
    <w:rsid w:val="00DD0F3F"/>
    <w:rsid w:val="00DD4C95"/>
    <w:rsid w:val="00DE0376"/>
    <w:rsid w:val="00DE5EEC"/>
    <w:rsid w:val="00DF0C80"/>
    <w:rsid w:val="00DF4F2B"/>
    <w:rsid w:val="00E253EE"/>
    <w:rsid w:val="00E31CF0"/>
    <w:rsid w:val="00E33338"/>
    <w:rsid w:val="00E3340F"/>
    <w:rsid w:val="00E57F29"/>
    <w:rsid w:val="00E72976"/>
    <w:rsid w:val="00E74E44"/>
    <w:rsid w:val="00E8244E"/>
    <w:rsid w:val="00E826D5"/>
    <w:rsid w:val="00E83108"/>
    <w:rsid w:val="00E96D51"/>
    <w:rsid w:val="00EB0BC7"/>
    <w:rsid w:val="00EC4BDB"/>
    <w:rsid w:val="00EE18A3"/>
    <w:rsid w:val="00EF44FD"/>
    <w:rsid w:val="00F161C8"/>
    <w:rsid w:val="00F2225A"/>
    <w:rsid w:val="00F435D9"/>
    <w:rsid w:val="00F56841"/>
    <w:rsid w:val="00F60A32"/>
    <w:rsid w:val="00F77B22"/>
    <w:rsid w:val="00FA12D7"/>
    <w:rsid w:val="00FA2A5A"/>
    <w:rsid w:val="00FC32F0"/>
    <w:rsid w:val="00FD305F"/>
    <w:rsid w:val="00FD3258"/>
    <w:rsid w:val="00FD6054"/>
    <w:rsid w:val="00FF68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73FBA-A17D-4904-B4F7-09C2CB99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2E4"/>
    <w:pPr>
      <w:spacing w:after="0" w:line="240" w:lineRule="auto"/>
    </w:pPr>
    <w:rPr>
      <w:sz w:val="24"/>
      <w:szCs w:val="24"/>
      <w:lang w:val="tr-TR"/>
    </w:rPr>
  </w:style>
  <w:style w:type="paragraph" w:styleId="Balk2">
    <w:name w:val="heading 2"/>
    <w:basedOn w:val="Normal"/>
    <w:next w:val="Normal"/>
    <w:link w:val="Balk2Char"/>
    <w:uiPriority w:val="9"/>
    <w:unhideWhenUsed/>
    <w:qFormat/>
    <w:rsid w:val="00DC62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Balk2"/>
    <w:next w:val="Normal"/>
    <w:link w:val="Balk3Char"/>
    <w:uiPriority w:val="9"/>
    <w:unhideWhenUsed/>
    <w:qFormat/>
    <w:rsid w:val="00DC62E4"/>
    <w:pPr>
      <w:numPr>
        <w:ilvl w:val="2"/>
        <w:numId w:val="1"/>
      </w:numPr>
      <w:jc w:val="both"/>
      <w:outlineLvl w:val="2"/>
    </w:pPr>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2E4"/>
    <w:rPr>
      <w:rFonts w:asciiTheme="majorHAnsi" w:eastAsiaTheme="majorEastAsia" w:hAnsiTheme="majorHAnsi" w:cstheme="majorBidi"/>
      <w:color w:val="2F5496" w:themeColor="accent1" w:themeShade="BF"/>
      <w:sz w:val="26"/>
      <w:szCs w:val="26"/>
      <w:lang w:val="tr-TR"/>
    </w:rPr>
  </w:style>
  <w:style w:type="character" w:customStyle="1" w:styleId="Balk3Char">
    <w:name w:val="Başlık 3 Char"/>
    <w:basedOn w:val="VarsaylanParagrafYazTipi"/>
    <w:link w:val="Balk3"/>
    <w:uiPriority w:val="9"/>
    <w:rsid w:val="00DC62E4"/>
    <w:rPr>
      <w:rFonts w:ascii="Times New Roman" w:eastAsiaTheme="majorEastAsia" w:hAnsi="Times New Roman" w:cs="Times New Roman"/>
      <w:color w:val="2F5496" w:themeColor="accent1" w:themeShade="BF"/>
      <w:sz w:val="26"/>
      <w:szCs w:val="26"/>
      <w:lang w:val="tr-TR"/>
    </w:rPr>
  </w:style>
  <w:style w:type="paragraph" w:styleId="ListeParagraf">
    <w:name w:val="List Paragraph"/>
    <w:aliases w:val="Erzurum1,lp1"/>
    <w:basedOn w:val="Normal"/>
    <w:link w:val="ListeParagrafChar"/>
    <w:uiPriority w:val="34"/>
    <w:qFormat/>
    <w:rsid w:val="00DC62E4"/>
    <w:pPr>
      <w:ind w:left="720"/>
      <w:contextualSpacing/>
    </w:pPr>
  </w:style>
  <w:style w:type="character" w:customStyle="1" w:styleId="ListeParagrafChar">
    <w:name w:val="Liste Paragraf Char"/>
    <w:aliases w:val="Erzurum1 Char,lp1 Char"/>
    <w:link w:val="ListeParagraf"/>
    <w:uiPriority w:val="34"/>
    <w:locked/>
    <w:rsid w:val="00DC62E4"/>
    <w:rPr>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1709</Words>
  <Characters>9742</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Ferhat ETÇİ</cp:lastModifiedBy>
  <cp:revision>2</cp:revision>
  <dcterms:created xsi:type="dcterms:W3CDTF">2017-10-04T08:17:00Z</dcterms:created>
  <dcterms:modified xsi:type="dcterms:W3CDTF">2017-10-04T08:17:00Z</dcterms:modified>
</cp:coreProperties>
</file>